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8C2A62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NR.530/2022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Pr="002C612D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57"/>
        <w:gridCol w:w="1890"/>
        <w:gridCol w:w="2041"/>
      </w:tblGrid>
      <w:tr w:rsidR="00DA2FD9" w:rsidRPr="00F85AD9" w:rsidTr="00F85AD9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B50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B50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B50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041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F85AD9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4678E6" w:rsidRDefault="004678E6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660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7B6600" w:rsidRPr="007B6600">
              <w:rPr>
                <w:rFonts w:ascii="Times New Roman" w:hAnsi="Times New Roman" w:cs="Times New Roman"/>
                <w:szCs w:val="28"/>
                <w:lang w:val="it-IT"/>
              </w:rPr>
              <w:t>aprobarea actualizării Documentaţiei de Avizare a Lucrărilor de Intervenţii și a indicatorilor tehnico – economici pentru obiectivul de investiții „Conservarea, protejarea, promovarea și dezvoltarea patrimoniului național și cultural – Casa Rusănescu (Casa Căsătoriilor)”</w:t>
            </w:r>
          </w:p>
        </w:tc>
        <w:tc>
          <w:tcPr>
            <w:tcW w:w="1890" w:type="dxa"/>
          </w:tcPr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041" w:type="dxa"/>
          </w:tcPr>
          <w:p w:rsidR="00DA2FD9" w:rsidRPr="004678E6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4678E6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14079E" w:rsidRPr="00DA2FD9" w:rsidTr="00F85AD9">
        <w:tc>
          <w:tcPr>
            <w:tcW w:w="993" w:type="dxa"/>
          </w:tcPr>
          <w:p w:rsidR="0014079E" w:rsidRPr="00DA2FD9" w:rsidRDefault="0014079E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14079E" w:rsidRPr="0014079E" w:rsidRDefault="0014079E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07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8C2A62">
              <w:rPr>
                <w:rFonts w:ascii="Times New Roman" w:hAnsi="Times New Roman" w:cs="Times New Roman"/>
                <w:szCs w:val="28"/>
                <w:lang w:val="it-IT"/>
              </w:rPr>
              <w:t xml:space="preserve">aprobarea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proiectului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: „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Măsuri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de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reducere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a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riscului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de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infecţii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nosocomiale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în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cadrul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Spitalului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Clinic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de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Neuropsihiatrie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Craiova”,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în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vederea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finanţării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acestuia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în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cadrul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Planului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Naţional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de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Redresare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şi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Rezilienţă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Componenta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12—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Sănătate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Investiției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I2.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Dezvoltarea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infrastructurii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spitalicești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publice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Investiția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specifică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: I2.4.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Echipamente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și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materiale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destinate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reducerii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riscului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gram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de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infecții</w:t>
            </w:r>
            <w:proofErr w:type="spellEnd"/>
            <w:proofErr w:type="gram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nosocomiale,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apelul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de </w:t>
            </w:r>
            <w:proofErr w:type="spellStart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>proiecte</w:t>
            </w:r>
            <w:proofErr w:type="spellEnd"/>
            <w:r w:rsidRPr="0014079E">
              <w:rPr>
                <w:rFonts w:ascii="Times New Roman" w:hAnsi="Times New Roman" w:cs="Times New Roman"/>
                <w:szCs w:val="28"/>
                <w:lang w:val="fr-FR"/>
              </w:rPr>
              <w:t xml:space="preserve"> MS – 0024</w:t>
            </w:r>
          </w:p>
        </w:tc>
        <w:tc>
          <w:tcPr>
            <w:tcW w:w="1890" w:type="dxa"/>
          </w:tcPr>
          <w:p w:rsidR="0014079E" w:rsidRPr="004678E6" w:rsidRDefault="0014079E" w:rsidP="001407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14079E" w:rsidRPr="004678E6" w:rsidRDefault="0014079E" w:rsidP="001407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041" w:type="dxa"/>
          </w:tcPr>
          <w:p w:rsidR="0014079E" w:rsidRPr="004678E6" w:rsidRDefault="0014079E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621688" w:rsidRPr="00DA2FD9" w:rsidTr="00F85AD9">
        <w:tc>
          <w:tcPr>
            <w:tcW w:w="993" w:type="dxa"/>
          </w:tcPr>
          <w:p w:rsidR="00621688" w:rsidRPr="00DA2FD9" w:rsidRDefault="0062168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621688" w:rsidRPr="00621688" w:rsidRDefault="00621688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216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8C2A62">
              <w:rPr>
                <w:rFonts w:ascii="Times New Roman" w:hAnsi="Times New Roman" w:cs="Times New Roman"/>
                <w:szCs w:val="28"/>
                <w:lang w:val="it-IT"/>
              </w:rPr>
              <w:t>aprobarea Regulamentului de organizare şi funcţionare al Spitalului Clinic Municipal „Filantropia” Craiova</w:t>
            </w:r>
          </w:p>
        </w:tc>
        <w:tc>
          <w:tcPr>
            <w:tcW w:w="1890" w:type="dxa"/>
          </w:tcPr>
          <w:p w:rsidR="00621688" w:rsidRPr="004678E6" w:rsidRDefault="00621688" w:rsidP="00621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621688" w:rsidRPr="004678E6" w:rsidRDefault="00621688" w:rsidP="00621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041" w:type="dxa"/>
          </w:tcPr>
          <w:p w:rsidR="00621688" w:rsidRPr="004678E6" w:rsidRDefault="00621688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</w:t>
            </w: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8C2A62" w:rsidRDefault="008C2A62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8C2A62" w:rsidRPr="008C2A62" w:rsidRDefault="008C2A62" w:rsidP="008C2A6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8C2A62" w:rsidRDefault="008C2A62" w:rsidP="008C2A62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2A62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8C2A62" w:rsidRPr="008C2A62" w:rsidRDefault="008C2A62" w:rsidP="008C2A62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2A62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8C2A62" w:rsidRPr="008C2A62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100E8C"/>
    <w:rsid w:val="0014079E"/>
    <w:rsid w:val="001530FC"/>
    <w:rsid w:val="001819C1"/>
    <w:rsid w:val="001C7BA4"/>
    <w:rsid w:val="00214EB4"/>
    <w:rsid w:val="002C612D"/>
    <w:rsid w:val="002C72F8"/>
    <w:rsid w:val="00314639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85351"/>
    <w:rsid w:val="00897D4C"/>
    <w:rsid w:val="008C2A62"/>
    <w:rsid w:val="008D52B9"/>
    <w:rsid w:val="008F3668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93620"/>
    <w:rsid w:val="00DA2FD9"/>
    <w:rsid w:val="00DD3E54"/>
    <w:rsid w:val="00E636C5"/>
    <w:rsid w:val="00F27D58"/>
    <w:rsid w:val="00F47206"/>
    <w:rsid w:val="00F56120"/>
    <w:rsid w:val="00F8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C940B-7D7B-47A9-AFF8-34ECDBB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8</cp:revision>
  <cp:lastPrinted>2022-10-25T07:30:00Z</cp:lastPrinted>
  <dcterms:created xsi:type="dcterms:W3CDTF">2022-10-25T06:01:00Z</dcterms:created>
  <dcterms:modified xsi:type="dcterms:W3CDTF">2022-10-27T09:49:00Z</dcterms:modified>
</cp:coreProperties>
</file>